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Ind w:w="-318" w:type="dxa"/>
        <w:tblLook w:val="04A0"/>
      </w:tblPr>
      <w:tblGrid>
        <w:gridCol w:w="4884"/>
        <w:gridCol w:w="720"/>
        <w:gridCol w:w="4359"/>
      </w:tblGrid>
      <w:tr w:rsidR="00226AF2" w:rsidTr="00F30411">
        <w:trPr>
          <w:trHeight w:val="964"/>
        </w:trPr>
        <w:tc>
          <w:tcPr>
            <w:tcW w:w="4884" w:type="dxa"/>
            <w:shd w:val="clear" w:color="auto" w:fill="auto"/>
          </w:tcPr>
          <w:p w:rsidR="00226AF2" w:rsidRDefault="00226AF2" w:rsidP="00F30411">
            <w:pPr>
              <w:jc w:val="center"/>
            </w:pPr>
            <w:r>
              <w:rPr>
                <w:sz w:val="24"/>
                <w:szCs w:val="24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26AF2" w:rsidRDefault="00226AF2" w:rsidP="00F30411"/>
        </w:tc>
        <w:tc>
          <w:tcPr>
            <w:tcW w:w="4359" w:type="dxa"/>
            <w:shd w:val="clear" w:color="auto" w:fill="auto"/>
          </w:tcPr>
          <w:p w:rsidR="00226AF2" w:rsidRDefault="00226AF2" w:rsidP="00F30411">
            <w:pPr>
              <w:jc w:val="center"/>
              <w:rPr>
                <w:sz w:val="16"/>
                <w:szCs w:val="16"/>
              </w:rPr>
            </w:pPr>
          </w:p>
        </w:tc>
      </w:tr>
      <w:tr w:rsidR="00226AF2" w:rsidRPr="00871E22" w:rsidTr="00F30411">
        <w:trPr>
          <w:trHeight w:val="3186"/>
        </w:trPr>
        <w:tc>
          <w:tcPr>
            <w:tcW w:w="4884" w:type="dxa"/>
            <w:shd w:val="clear" w:color="auto" w:fill="auto"/>
          </w:tcPr>
          <w:p w:rsidR="00226AF2" w:rsidRPr="00EF44BA" w:rsidRDefault="00226AF2" w:rsidP="00F304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44BA">
              <w:rPr>
                <w:b/>
                <w:sz w:val="20"/>
                <w:szCs w:val="20"/>
              </w:rPr>
              <w:t>ПРОФСОЮЗ РАБОТНИКОВ НАРОДНОГО ОБРАЗОВАНИЯ И НАУКИ</w:t>
            </w:r>
          </w:p>
          <w:p w:rsidR="00226AF2" w:rsidRPr="00EF44BA" w:rsidRDefault="00226AF2" w:rsidP="00F304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44BA">
              <w:rPr>
                <w:b/>
                <w:sz w:val="20"/>
                <w:szCs w:val="20"/>
              </w:rPr>
              <w:t>РОССИЙСКОЙ ФЕДЕРАЦИИ</w:t>
            </w:r>
          </w:p>
          <w:p w:rsidR="00226AF2" w:rsidRPr="00EF44BA" w:rsidRDefault="00226AF2" w:rsidP="00F30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44BA">
              <w:rPr>
                <w:sz w:val="20"/>
                <w:szCs w:val="20"/>
              </w:rPr>
              <w:t>(ОБЩЕРОССИЙСКИЙ ПРОФСОЮЗ ОБРАЗОВАНИЯ)</w:t>
            </w:r>
          </w:p>
          <w:p w:rsidR="00226AF2" w:rsidRDefault="00226AF2" w:rsidP="00F304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26AF2" w:rsidRPr="00EF44BA" w:rsidRDefault="00226AF2" w:rsidP="00F304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44BA">
              <w:rPr>
                <w:b/>
                <w:sz w:val="20"/>
                <w:szCs w:val="20"/>
              </w:rPr>
              <w:t>АЛТАЙСКАЯ РЕСПУБЛИКАНСКАЯ ОРГАНИЗАЦИЯ</w:t>
            </w:r>
          </w:p>
          <w:p w:rsidR="00226AF2" w:rsidRPr="00EF44BA" w:rsidRDefault="00226AF2" w:rsidP="00F304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44BA">
              <w:rPr>
                <w:b/>
                <w:sz w:val="20"/>
                <w:szCs w:val="20"/>
              </w:rPr>
              <w:t>РЕСПУБЛИКАНСКИЙ КОМИТЕТ ПРОФСОЮЗА</w:t>
            </w:r>
          </w:p>
          <w:p w:rsidR="00226AF2" w:rsidRPr="00EF44BA" w:rsidRDefault="00226AF2" w:rsidP="00F30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44BA">
              <w:rPr>
                <w:sz w:val="20"/>
                <w:szCs w:val="20"/>
              </w:rPr>
              <w:t xml:space="preserve">649006, Республика Алтай, г. </w:t>
            </w:r>
            <w:proofErr w:type="spellStart"/>
            <w:r w:rsidRPr="00EF44BA">
              <w:rPr>
                <w:sz w:val="20"/>
                <w:szCs w:val="20"/>
              </w:rPr>
              <w:t>Горно</w:t>
            </w:r>
            <w:proofErr w:type="spellEnd"/>
            <w:r w:rsidRPr="00EF44BA">
              <w:rPr>
                <w:sz w:val="20"/>
                <w:szCs w:val="20"/>
              </w:rPr>
              <w:t xml:space="preserve">- </w:t>
            </w:r>
            <w:proofErr w:type="spellStart"/>
            <w:r w:rsidRPr="00EF44BA">
              <w:rPr>
                <w:sz w:val="20"/>
                <w:szCs w:val="20"/>
              </w:rPr>
              <w:t>Алтайск</w:t>
            </w:r>
            <w:proofErr w:type="spellEnd"/>
            <w:r w:rsidRPr="00EF44BA">
              <w:rPr>
                <w:sz w:val="20"/>
                <w:szCs w:val="20"/>
              </w:rPr>
              <w:t xml:space="preserve">, </w:t>
            </w:r>
          </w:p>
          <w:p w:rsidR="00226AF2" w:rsidRPr="00EF44BA" w:rsidRDefault="00226AF2" w:rsidP="00F30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44BA">
              <w:rPr>
                <w:sz w:val="20"/>
                <w:szCs w:val="20"/>
              </w:rPr>
              <w:t>ул. Комсомольская 9. а/я 3</w:t>
            </w:r>
            <w:r>
              <w:rPr>
                <w:sz w:val="20"/>
                <w:szCs w:val="20"/>
              </w:rPr>
              <w:t>22</w:t>
            </w:r>
            <w:r w:rsidRPr="00EF44BA">
              <w:rPr>
                <w:sz w:val="20"/>
                <w:szCs w:val="20"/>
              </w:rPr>
              <w:t xml:space="preserve"> </w:t>
            </w:r>
          </w:p>
          <w:p w:rsidR="00226AF2" w:rsidRPr="00EF44BA" w:rsidRDefault="00226AF2" w:rsidP="00F30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44BA">
              <w:rPr>
                <w:sz w:val="20"/>
                <w:szCs w:val="20"/>
              </w:rPr>
              <w:t>Тел./факс (38822): 2-27-28</w:t>
            </w:r>
          </w:p>
          <w:p w:rsidR="00226AF2" w:rsidRPr="00EF44BA" w:rsidRDefault="00226AF2" w:rsidP="00F304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F44BA">
              <w:rPr>
                <w:sz w:val="20"/>
                <w:szCs w:val="20"/>
                <w:lang w:val="en-US"/>
              </w:rPr>
              <w:t xml:space="preserve">(e-mail)  </w:t>
            </w:r>
            <w:hyperlink r:id="rId5" w:history="1">
              <w:r w:rsidRPr="00EF44BA">
                <w:rPr>
                  <w:rStyle w:val="a3"/>
                  <w:sz w:val="20"/>
                  <w:szCs w:val="20"/>
                  <w:lang w:val="en-US"/>
                </w:rPr>
                <w:t>prof</w:t>
              </w:r>
              <w:r>
                <w:rPr>
                  <w:rStyle w:val="a3"/>
                  <w:sz w:val="20"/>
                  <w:szCs w:val="20"/>
                  <w:lang w:val="en-US"/>
                </w:rPr>
                <w:t>f</w:t>
              </w:r>
              <w:r w:rsidRPr="00EF44BA">
                <w:rPr>
                  <w:rStyle w:val="a3"/>
                  <w:sz w:val="20"/>
                  <w:szCs w:val="20"/>
                  <w:lang w:val="en-US"/>
                </w:rPr>
                <w:t>alt@mail.ru</w:t>
              </w:r>
            </w:hyperlink>
          </w:p>
          <w:p w:rsidR="00226AF2" w:rsidRPr="00EF44BA" w:rsidRDefault="00226AF2" w:rsidP="00F30411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Pr="00EF44BA">
                <w:rPr>
                  <w:rStyle w:val="a3"/>
                  <w:sz w:val="20"/>
                  <w:szCs w:val="20"/>
                  <w:lang w:val="en-US"/>
                </w:rPr>
                <w:t>WWW.profalt.ucoz.ru</w:t>
              </w:r>
            </w:hyperlink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6AF2" w:rsidRPr="00C179ED" w:rsidRDefault="00226AF2" w:rsidP="00F30411">
            <w:pPr>
              <w:rPr>
                <w:lang w:val="en-US"/>
              </w:rPr>
            </w:pPr>
          </w:p>
        </w:tc>
        <w:tc>
          <w:tcPr>
            <w:tcW w:w="4359" w:type="dxa"/>
            <w:vMerge w:val="restart"/>
            <w:shd w:val="clear" w:color="auto" w:fill="auto"/>
          </w:tcPr>
          <w:p w:rsidR="00226AF2" w:rsidRPr="00E67D2E" w:rsidRDefault="00226AF2" w:rsidP="00F30411">
            <w:pPr>
              <w:pStyle w:val="a4"/>
              <w:ind w:right="453"/>
              <w:rPr>
                <w:szCs w:val="24"/>
                <w:lang w:val="en-US"/>
              </w:rPr>
            </w:pPr>
          </w:p>
          <w:p w:rsidR="00226AF2" w:rsidRPr="001412DC" w:rsidRDefault="00226AF2" w:rsidP="00F30411">
            <w:pPr>
              <w:pStyle w:val="a4"/>
              <w:ind w:right="453"/>
              <w:rPr>
                <w:szCs w:val="24"/>
              </w:rPr>
            </w:pPr>
            <w:r w:rsidRPr="001412DC">
              <w:rPr>
                <w:szCs w:val="24"/>
              </w:rPr>
              <w:t>Заместителю Председателя Правительства РА</w:t>
            </w:r>
          </w:p>
          <w:p w:rsidR="00226AF2" w:rsidRPr="001412DC" w:rsidRDefault="00226AF2" w:rsidP="00F30411">
            <w:pPr>
              <w:pStyle w:val="a4"/>
              <w:ind w:right="453"/>
              <w:rPr>
                <w:szCs w:val="24"/>
              </w:rPr>
            </w:pPr>
            <w:r w:rsidRPr="001412DC">
              <w:rPr>
                <w:szCs w:val="24"/>
              </w:rPr>
              <w:t>О.А. Сафроновой</w:t>
            </w:r>
          </w:p>
          <w:p w:rsidR="00226AF2" w:rsidRPr="001412DC" w:rsidRDefault="00226AF2" w:rsidP="00F30411">
            <w:pPr>
              <w:pStyle w:val="a4"/>
              <w:ind w:right="453"/>
              <w:rPr>
                <w:szCs w:val="24"/>
              </w:rPr>
            </w:pPr>
          </w:p>
          <w:p w:rsidR="00226AF2" w:rsidRPr="001412DC" w:rsidRDefault="00226AF2" w:rsidP="00F30411">
            <w:pPr>
              <w:pStyle w:val="a4"/>
              <w:ind w:right="453"/>
              <w:rPr>
                <w:szCs w:val="24"/>
              </w:rPr>
            </w:pPr>
            <w:r w:rsidRPr="001412DC">
              <w:rPr>
                <w:szCs w:val="24"/>
              </w:rPr>
              <w:t>Исполняющему обязанности Министра образования и науки РА</w:t>
            </w:r>
          </w:p>
          <w:p w:rsidR="00226AF2" w:rsidRDefault="00226AF2" w:rsidP="00F30411">
            <w:pPr>
              <w:pStyle w:val="a4"/>
              <w:ind w:right="453"/>
              <w:rPr>
                <w:szCs w:val="24"/>
              </w:rPr>
            </w:pPr>
            <w:r w:rsidRPr="001412DC">
              <w:rPr>
                <w:szCs w:val="24"/>
              </w:rPr>
              <w:t>А.В. Бондаренко</w:t>
            </w:r>
          </w:p>
          <w:p w:rsidR="00226AF2" w:rsidRDefault="00226AF2" w:rsidP="00F30411">
            <w:pPr>
              <w:pStyle w:val="a4"/>
              <w:ind w:right="453"/>
              <w:rPr>
                <w:szCs w:val="24"/>
              </w:rPr>
            </w:pPr>
          </w:p>
          <w:p w:rsidR="00226AF2" w:rsidRDefault="00226AF2" w:rsidP="00F30411">
            <w:pPr>
              <w:pStyle w:val="a4"/>
              <w:ind w:right="453"/>
              <w:rPr>
                <w:szCs w:val="24"/>
              </w:rPr>
            </w:pPr>
            <w:r>
              <w:rPr>
                <w:szCs w:val="24"/>
              </w:rPr>
              <w:t xml:space="preserve">Министру труда и социального развития РА </w:t>
            </w:r>
          </w:p>
          <w:p w:rsidR="00226AF2" w:rsidRPr="005E1E67" w:rsidRDefault="00226AF2" w:rsidP="00F30411">
            <w:pPr>
              <w:pStyle w:val="a4"/>
              <w:ind w:right="453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Тюхтеневой</w:t>
            </w:r>
            <w:proofErr w:type="spellEnd"/>
          </w:p>
        </w:tc>
      </w:tr>
      <w:tr w:rsidR="00226AF2" w:rsidTr="00F30411">
        <w:trPr>
          <w:trHeight w:val="589"/>
        </w:trPr>
        <w:tc>
          <w:tcPr>
            <w:tcW w:w="4884" w:type="dxa"/>
            <w:shd w:val="clear" w:color="auto" w:fill="auto"/>
          </w:tcPr>
          <w:p w:rsidR="00226AF2" w:rsidRPr="00EF44BA" w:rsidRDefault="00226AF2" w:rsidP="00F3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___23</w:t>
            </w:r>
            <w:r w:rsidRPr="00EF44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F44B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EF44BA">
              <w:rPr>
                <w:sz w:val="20"/>
                <w:szCs w:val="20"/>
              </w:rPr>
              <w:t xml:space="preserve"> г.___№______</w:t>
            </w:r>
            <w:r>
              <w:rPr>
                <w:sz w:val="20"/>
                <w:szCs w:val="20"/>
              </w:rPr>
              <w:t>6</w:t>
            </w:r>
            <w:r w:rsidRPr="00EF44BA">
              <w:rPr>
                <w:sz w:val="20"/>
                <w:szCs w:val="20"/>
              </w:rPr>
              <w:t>_____________</w:t>
            </w:r>
          </w:p>
          <w:p w:rsidR="00226AF2" w:rsidRPr="00EF44BA" w:rsidRDefault="00226AF2" w:rsidP="00F30411">
            <w:pPr>
              <w:jc w:val="center"/>
              <w:rPr>
                <w:sz w:val="16"/>
                <w:szCs w:val="16"/>
              </w:rPr>
            </w:pPr>
            <w:r w:rsidRPr="00EF44BA">
              <w:rPr>
                <w:sz w:val="20"/>
                <w:szCs w:val="20"/>
              </w:rPr>
              <w:t>На № ______ от____________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26AF2" w:rsidRDefault="00226AF2" w:rsidP="00F30411"/>
        </w:tc>
        <w:tc>
          <w:tcPr>
            <w:tcW w:w="4359" w:type="dxa"/>
            <w:vMerge/>
            <w:shd w:val="clear" w:color="auto" w:fill="auto"/>
            <w:vAlign w:val="center"/>
          </w:tcPr>
          <w:p w:rsidR="00226AF2" w:rsidRDefault="00226AF2" w:rsidP="00F30411">
            <w:pPr>
              <w:rPr>
                <w:sz w:val="28"/>
                <w:szCs w:val="28"/>
              </w:rPr>
            </w:pPr>
          </w:p>
        </w:tc>
      </w:tr>
    </w:tbl>
    <w:p w:rsidR="00226AF2" w:rsidRPr="00655BCF" w:rsidRDefault="00226AF2" w:rsidP="00226A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CF">
        <w:rPr>
          <w:rFonts w:ascii="Times New Roman" w:hAnsi="Times New Roman" w:cs="Times New Roman"/>
          <w:b/>
          <w:sz w:val="24"/>
          <w:szCs w:val="24"/>
        </w:rPr>
        <w:t xml:space="preserve">Мнение Профсоюза на проект постановления </w:t>
      </w:r>
      <w:r w:rsidRPr="00655BCF">
        <w:rPr>
          <w:rFonts w:ascii="Times New Roman" w:eastAsia="Calibri" w:hAnsi="Times New Roman"/>
          <w:b/>
          <w:sz w:val="24"/>
          <w:szCs w:val="24"/>
          <w:lang w:eastAsia="en-US"/>
        </w:rPr>
        <w:t>Правительства Республики Алтай "</w:t>
      </w:r>
      <w:r w:rsidRPr="00655BCF">
        <w:rPr>
          <w:rFonts w:ascii="Times New Roman" w:hAnsi="Times New Roman"/>
          <w:b/>
          <w:sz w:val="24"/>
          <w:szCs w:val="24"/>
        </w:rPr>
        <w:t>О внесении изменений в приложение № 2 к постановлению Правительства Республики Алтай от 14 июня 2011 года № 124" /разработчик проекта постановления Министерство труда и социального развития РА/</w:t>
      </w:r>
    </w:p>
    <w:p w:rsidR="00226AF2" w:rsidRPr="001412DC" w:rsidRDefault="00226AF2" w:rsidP="00226A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2DC">
        <w:rPr>
          <w:rFonts w:ascii="Times New Roman" w:hAnsi="Times New Roman" w:cs="Times New Roman"/>
          <w:sz w:val="24"/>
          <w:szCs w:val="24"/>
        </w:rPr>
        <w:t>Уважаемая Ольга А</w:t>
      </w:r>
      <w:r>
        <w:rPr>
          <w:rFonts w:ascii="Times New Roman" w:hAnsi="Times New Roman" w:cs="Times New Roman"/>
          <w:sz w:val="24"/>
          <w:szCs w:val="24"/>
        </w:rPr>
        <w:t>лександровна</w:t>
      </w:r>
      <w:r w:rsidRPr="001412DC">
        <w:rPr>
          <w:rFonts w:ascii="Times New Roman" w:hAnsi="Times New Roman" w:cs="Times New Roman"/>
          <w:sz w:val="24"/>
          <w:szCs w:val="24"/>
        </w:rPr>
        <w:t>!</w:t>
      </w:r>
    </w:p>
    <w:p w:rsidR="00226AF2" w:rsidRDefault="00226AF2" w:rsidP="00226A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2DC">
        <w:rPr>
          <w:rFonts w:ascii="Times New Roman" w:hAnsi="Times New Roman" w:cs="Times New Roman"/>
          <w:sz w:val="24"/>
          <w:szCs w:val="24"/>
        </w:rPr>
        <w:t>Уважаемый Алексей Викторович!</w:t>
      </w:r>
    </w:p>
    <w:p w:rsidR="00226AF2" w:rsidRPr="001412DC" w:rsidRDefault="00226AF2" w:rsidP="00226A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Акчабаевна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26AF2" w:rsidRPr="00FE273E" w:rsidRDefault="00226AF2" w:rsidP="00226AF2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73E">
        <w:rPr>
          <w:rFonts w:ascii="Times New Roman" w:eastAsia="Calibri" w:hAnsi="Times New Roman"/>
          <w:sz w:val="24"/>
          <w:szCs w:val="24"/>
          <w:lang w:eastAsia="en-US"/>
        </w:rPr>
        <w:t>19 декабря 2014 года на сайте Министерства труда и социального развития Республики Алтай размещен проект постановления Правительства Республики Алтай "</w:t>
      </w:r>
      <w:r w:rsidRPr="00FE273E">
        <w:rPr>
          <w:rFonts w:ascii="Times New Roman" w:hAnsi="Times New Roman"/>
          <w:sz w:val="24"/>
          <w:szCs w:val="24"/>
        </w:rPr>
        <w:t>О внесении изменений в приложение № 2 к постановлению Правительства Республики Алтай от 14 июня 2011 года № 124".</w:t>
      </w:r>
    </w:p>
    <w:p w:rsidR="00226AF2" w:rsidRDefault="00226AF2" w:rsidP="00226AF2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пояснительной записке к проекту постановления указано, что проект вносит изменения в механизм предоставления мер социальной поддержки педагогическим работникам в целях формирования единого подхода по предоставлению мер социальной поддержки сельским работникам на территории Республики Алтай.</w:t>
      </w:r>
    </w:p>
    <w:p w:rsidR="00226AF2" w:rsidRDefault="00226AF2" w:rsidP="00226AF2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Считаем, что фактически проект постановления меняет не механизм предоставления мер социальной поддержки, а устанавливает новую форму предоставления мер социальной поддержки для педагогических работников. </w:t>
      </w:r>
      <w:r w:rsidRPr="00FE273E">
        <w:rPr>
          <w:rFonts w:ascii="Times New Roman" w:hAnsi="Times New Roman"/>
          <w:sz w:val="24"/>
          <w:szCs w:val="24"/>
        </w:rPr>
        <w:t>Проект вводит понятие "ежемесячного денежного эквивалента мер социальной поддержки по оплате жилого помещения, отопления и освещения".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73E">
        <w:rPr>
          <w:rFonts w:ascii="Times New Roman" w:hAnsi="Times New Roman"/>
          <w:sz w:val="24"/>
          <w:szCs w:val="24"/>
        </w:rPr>
        <w:t xml:space="preserve">Пункт "а" проекта постановления фактически </w:t>
      </w:r>
      <w:r w:rsidRPr="00FE273E">
        <w:rPr>
          <w:rFonts w:ascii="Times New Roman" w:hAnsi="Times New Roman"/>
          <w:sz w:val="24"/>
          <w:szCs w:val="24"/>
        </w:rPr>
        <w:lastRenderedPageBreak/>
        <w:t>заменяет действующую компенсацию расходов на оплату жилого помещения, отопления и освещения на ежемесячную фиксированную денежную выплату.</w:t>
      </w:r>
    </w:p>
    <w:p w:rsidR="00226AF2" w:rsidRDefault="00226AF2" w:rsidP="00226AF2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Предлагаемый порядок также не формирует заявленный разработчиком проекта единый подход по предоставлению мер социальной поддержки сельским работникам на территории Республики Алтай. К примеру, при условии совместного проживания в жилом помещении нескольких граждан  специалистов сельской местности,</w:t>
      </w:r>
      <w:r w:rsidRPr="009B5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имеющих право на ежемесячную или единовременную денежную выплату (медицинские работники, социальные работники, специалисты в области культуры и т.д.), данную выплату получает каждый заявитель. Действующее в настоящее время для педагогических работников условие предоставления компенсации расходов на домовладение, а не на заявителя разработчиком не меняется. Таким образом, денежный эквивалент  будет выплачиваться  на домовладение, а не на педагогического работника - льготника.</w:t>
      </w:r>
    </w:p>
    <w:p w:rsidR="00226AF2" w:rsidRDefault="00226AF2" w:rsidP="00226AF2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73E">
        <w:rPr>
          <w:rFonts w:ascii="Times New Roman" w:hAnsi="Times New Roman"/>
          <w:sz w:val="24"/>
          <w:szCs w:val="24"/>
        </w:rPr>
        <w:t xml:space="preserve">Поскольку, предлагаемый ежемесячный денежный эквивалент мер социальной поддержки в размере 1400 рублей для граждан, проживающих в домах с центральным отоплением (2394 рублей для районов приравненных к Крайнему Северу) и 900 рублей (1400 рублей для районов, приравненных к Крайнему Северу) для граждан, проживающих в домах с газовым или печным отоплением значительно снижает достигнутый уровень мер социальной поддержки педагогических работников, проживающих и работающих в сельской местности, считаем что </w:t>
      </w:r>
      <w:r>
        <w:rPr>
          <w:rFonts w:ascii="Times New Roman" w:hAnsi="Times New Roman"/>
          <w:sz w:val="24"/>
          <w:szCs w:val="24"/>
        </w:rPr>
        <w:t xml:space="preserve">постановление не может быть принято, поскольку его нормы </w:t>
      </w:r>
      <w:r w:rsidRPr="00FE273E">
        <w:rPr>
          <w:rFonts w:ascii="Times New Roman" w:hAnsi="Times New Roman"/>
          <w:sz w:val="24"/>
          <w:szCs w:val="24"/>
        </w:rPr>
        <w:t xml:space="preserve"> противоречат действующему законодательству.</w:t>
      </w:r>
    </w:p>
    <w:p w:rsidR="00226AF2" w:rsidRPr="00FE273E" w:rsidRDefault="00226AF2" w:rsidP="00226AF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273E">
        <w:rPr>
          <w:rFonts w:ascii="Times New Roman" w:eastAsia="Calibri" w:hAnsi="Times New Roman"/>
          <w:sz w:val="24"/>
          <w:szCs w:val="24"/>
          <w:lang w:eastAsia="en-US"/>
        </w:rPr>
        <w:t>Следует отметить, что как и ранее действовавший Закон Российской Федерации «Об образовании», так и в настоящее время действующий Федеральный закон от 29.12.2012 № 273-ФЗ «Об образовании в Российской Федерации» в ч 8. статьи 47 устанавливает, что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226AF2" w:rsidRPr="00FE273E" w:rsidRDefault="00226AF2" w:rsidP="00226AF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FE273E">
        <w:rPr>
          <w:rFonts w:ascii="Times New Roman" w:eastAsia="Calibri" w:hAnsi="Times New Roman"/>
          <w:sz w:val="24"/>
          <w:szCs w:val="24"/>
          <w:u w:val="single"/>
          <w:lang w:eastAsia="en-US"/>
        </w:rPr>
        <w:lastRenderedPageBreak/>
        <w:t>Следовательно, ничего не отменяя и не изменяя права педагогических работников на меры социальной поддержки Федеральный закон от 29.12.2012 № 273-ФЗ «Об образовании в Российской Федерации» не ухудшает положения граждан, сохраняя прежний порядок правового регулирования.</w:t>
      </w:r>
    </w:p>
    <w:p w:rsidR="00226AF2" w:rsidRPr="00FE273E" w:rsidRDefault="00226AF2" w:rsidP="00226AF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273E">
        <w:rPr>
          <w:rFonts w:ascii="Times New Roman" w:eastAsia="Calibri" w:hAnsi="Times New Roman"/>
          <w:sz w:val="24"/>
          <w:szCs w:val="24"/>
          <w:lang w:eastAsia="en-US"/>
        </w:rPr>
        <w:t xml:space="preserve">Принцип </w:t>
      </w:r>
      <w:proofErr w:type="spellStart"/>
      <w:r w:rsidRPr="00FE273E">
        <w:rPr>
          <w:rFonts w:ascii="Times New Roman" w:eastAsia="Calibri" w:hAnsi="Times New Roman"/>
          <w:sz w:val="24"/>
          <w:szCs w:val="24"/>
          <w:lang w:eastAsia="en-US"/>
        </w:rPr>
        <w:t>неухудшения</w:t>
      </w:r>
      <w:proofErr w:type="spellEnd"/>
      <w:r w:rsidRPr="00FE273E">
        <w:rPr>
          <w:rFonts w:ascii="Times New Roman" w:eastAsia="Calibri" w:hAnsi="Times New Roman"/>
          <w:sz w:val="24"/>
          <w:szCs w:val="24"/>
          <w:lang w:eastAsia="en-US"/>
        </w:rPr>
        <w:t xml:space="preserve"> положения граждан при принятии законов, затрагивающих социальные права граждан, неоднократно подтверждался и решениями Конституционного Суда РФ, в которых содержатся обоснованные правовые позиции по этому вопросу. Права и льготы, а также другие меры социальной защиты не могут быть отменены без равноценной замены, что должно являться подтверждением стабильности регулирования соответствующих отношений и недопустимости снижения ранее установленных льгот. Иное означало бы отказ государства от выполнения ранее принятых на себя обязательств.</w:t>
      </w:r>
    </w:p>
    <w:p w:rsidR="00226AF2" w:rsidRPr="00FE273E" w:rsidRDefault="00226AF2" w:rsidP="00226AF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273E">
        <w:rPr>
          <w:rFonts w:ascii="Times New Roman" w:eastAsia="Calibri" w:hAnsi="Times New Roman"/>
          <w:sz w:val="24"/>
          <w:szCs w:val="24"/>
          <w:lang w:eastAsia="en-US"/>
        </w:rPr>
        <w:t>Частью 2 статьи 55 Конституции Российской Федерации установлено, что в Российской Федерации не должны издаваться законы, отменяющие или умаляющие права и свободы человека и гражданина.</w:t>
      </w:r>
    </w:p>
    <w:p w:rsidR="00226AF2" w:rsidRDefault="00226AF2" w:rsidP="00226AF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273E">
        <w:rPr>
          <w:rFonts w:ascii="Times New Roman" w:eastAsia="Calibri" w:hAnsi="Times New Roman"/>
          <w:sz w:val="24"/>
          <w:szCs w:val="24"/>
          <w:lang w:eastAsia="en-US"/>
        </w:rPr>
        <w:t>Конституционный Суд Российской Федерации неоднократно высказывал правовую позицию о том, что должно быть обеспечено соблюдение положений Конституции Российской Федерации, закрепляющих, что Россия является демократическим правовым социальным государством (статья 1, часть 1; статья 7), в котором человек, его права и свободы являются высшей ценностью, а признание, соблюдение и защита прав и свобод человека и гражданина - обязанностью государства (статья 2); должен также соблюдаться принцип поддержания доверия граждан к закону и действиям государства,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норм.</w:t>
      </w:r>
    </w:p>
    <w:p w:rsidR="00226AF2" w:rsidRPr="00B667FD" w:rsidRDefault="00226AF2" w:rsidP="00226AF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67FD">
        <w:rPr>
          <w:rFonts w:ascii="Times New Roman" w:eastAsia="Calibri" w:hAnsi="Times New Roman"/>
          <w:sz w:val="24"/>
          <w:szCs w:val="24"/>
          <w:lang w:eastAsia="en-US"/>
        </w:rPr>
        <w:t>Ссылка разработчика в пояснительной записке на постановление Правительства РФ от 26.10.2013 г. №963, является без основательной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667FD">
        <w:rPr>
          <w:rFonts w:ascii="Times New Roman" w:eastAsia="Calibri" w:hAnsi="Times New Roman"/>
          <w:sz w:val="24"/>
          <w:szCs w:val="24"/>
          <w:lang w:eastAsia="en-US"/>
        </w:rPr>
        <w:t xml:space="preserve"> так как Указанный нормативный правовой акт определяет размер, условия и порядок возмещения расходов, связанных с предоставлением мер социальной поддержки исключительно 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</w:t>
      </w:r>
      <w:r w:rsidRPr="00B667FD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федеральных </w:t>
      </w:r>
      <w:r w:rsidRPr="00B667FD">
        <w:rPr>
          <w:rFonts w:ascii="Times New Roman" w:eastAsia="Calibri" w:hAnsi="Times New Roman"/>
          <w:sz w:val="24"/>
          <w:szCs w:val="24"/>
          <w:lang w:eastAsia="en-US"/>
        </w:rPr>
        <w:t>государственных образовательных организациях.</w:t>
      </w:r>
    </w:p>
    <w:p w:rsidR="00226AF2" w:rsidRDefault="00226AF2" w:rsidP="00226AF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273E">
        <w:rPr>
          <w:rFonts w:ascii="Times New Roman" w:eastAsia="Calibri" w:hAnsi="Times New Roman"/>
          <w:sz w:val="24"/>
          <w:szCs w:val="24"/>
          <w:lang w:eastAsia="en-US"/>
        </w:rPr>
        <w:t xml:space="preserve">Правительство республики уже дважды в 2006 и 2011 годах меняло порядок предоставления мер социальной поддержки сельских педагогических работников и каждый раз Верховный Суд Республики Алтай признавал данные нормы недействующими. </w:t>
      </w:r>
    </w:p>
    <w:p w:rsidR="00226AF2" w:rsidRPr="00847B51" w:rsidRDefault="00226AF2" w:rsidP="00226AF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B51">
        <w:rPr>
          <w:rFonts w:ascii="Times New Roman" w:hAnsi="Times New Roman" w:cs="Times New Roman"/>
          <w:sz w:val="24"/>
          <w:szCs w:val="24"/>
        </w:rPr>
        <w:lastRenderedPageBreak/>
        <w:t>На протяжении последних двух лет педагогические работники поднимают вопрос о стоимости твердого топлива, применяемого при расчете размера компенсации, которая утверждается Комитетом по тарифам Правительства республики. Последний раз стоимость твердого топлива пересматривалась в 2011 году, сегодня она не соответствует реальным рыночным ценам. В большинстве районов при расчете компенсации применяется стои</w:t>
      </w:r>
      <w:r>
        <w:rPr>
          <w:rFonts w:ascii="Times New Roman" w:hAnsi="Times New Roman" w:cs="Times New Roman"/>
          <w:sz w:val="24"/>
          <w:szCs w:val="24"/>
        </w:rPr>
        <w:t>мость дров в плотной массе 619,</w:t>
      </w:r>
      <w:r w:rsidRPr="00847B51">
        <w:rPr>
          <w:rFonts w:ascii="Times New Roman" w:hAnsi="Times New Roman" w:cs="Times New Roman"/>
          <w:sz w:val="24"/>
          <w:szCs w:val="24"/>
        </w:rPr>
        <w:t>78 рублей</w:t>
      </w:r>
      <w:r>
        <w:rPr>
          <w:rFonts w:ascii="Times New Roman" w:hAnsi="Times New Roman" w:cs="Times New Roman"/>
          <w:sz w:val="24"/>
          <w:szCs w:val="24"/>
        </w:rPr>
        <w:t xml:space="preserve"> куб.м. </w:t>
      </w:r>
      <w:r w:rsidRPr="00847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сегодня </w:t>
      </w:r>
      <w:r w:rsidRPr="00847B51">
        <w:rPr>
          <w:rFonts w:ascii="Times New Roman" w:hAnsi="Times New Roman" w:cs="Times New Roman"/>
          <w:sz w:val="24"/>
          <w:szCs w:val="24"/>
        </w:rPr>
        <w:t>рыночная стоимость достигает от 1200 до 1600 рублей</w:t>
      </w:r>
      <w:r>
        <w:rPr>
          <w:rFonts w:ascii="Times New Roman" w:hAnsi="Times New Roman" w:cs="Times New Roman"/>
          <w:sz w:val="24"/>
          <w:szCs w:val="24"/>
        </w:rPr>
        <w:t xml:space="preserve"> куб.м.</w:t>
      </w:r>
      <w:r w:rsidRPr="00847B51">
        <w:rPr>
          <w:rFonts w:ascii="Times New Roman" w:hAnsi="Times New Roman" w:cs="Times New Roman"/>
          <w:sz w:val="24"/>
          <w:szCs w:val="24"/>
        </w:rPr>
        <w:t xml:space="preserve">. Республиканский комитет, Объединение организаций Профсоюзов Республики неоднократно поднимали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847B51">
        <w:rPr>
          <w:rFonts w:ascii="Times New Roman" w:hAnsi="Times New Roman" w:cs="Times New Roman"/>
          <w:sz w:val="24"/>
          <w:szCs w:val="24"/>
        </w:rPr>
        <w:t xml:space="preserve"> Правительстве данный вопрос, заслушивали руководителя Комитета по тарифам. Однако, вопрос до сих пор не решен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B51">
        <w:rPr>
          <w:rFonts w:ascii="Times New Roman" w:hAnsi="Times New Roman" w:cs="Times New Roman"/>
          <w:sz w:val="24"/>
          <w:szCs w:val="24"/>
        </w:rPr>
        <w:t xml:space="preserve"> что вызывает социальную напряженность. Считаем, что пересмотр порядка предоставления мер социальной поддержки в сторону уменьшения спровоцирует социальный взрыв среди сельских педагогических работников.</w:t>
      </w:r>
    </w:p>
    <w:p w:rsidR="00226AF2" w:rsidRPr="00FE273E" w:rsidRDefault="00226AF2" w:rsidP="00226AF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Также, обращаем внимание разработчика проекта постановления на необходимость направления Объединению профсоюзов РА проектов законов, постановлений, влияющих на финансовое и социальное положение работников организаций Республики Алтай в рамках выполнения п. 233 Регионального трехстороннего соглашения между республиканскими объединениями работодателей, Объединением организаций профсоюзов РА и Правительством РА.</w:t>
      </w:r>
    </w:p>
    <w:p w:rsidR="00226AF2" w:rsidRDefault="00226AF2" w:rsidP="00226AF2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73E">
        <w:rPr>
          <w:rFonts w:ascii="Times New Roman" w:eastAsia="Calibri" w:hAnsi="Times New Roman"/>
          <w:sz w:val="24"/>
          <w:szCs w:val="24"/>
          <w:lang w:eastAsia="en-US"/>
        </w:rPr>
        <w:t xml:space="preserve">Учитывая изложенное,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 то что </w:t>
      </w:r>
      <w:r w:rsidRPr="00FE273E">
        <w:rPr>
          <w:rFonts w:ascii="Times New Roman" w:eastAsia="Calibri" w:hAnsi="Times New Roman"/>
          <w:sz w:val="24"/>
          <w:szCs w:val="24"/>
          <w:lang w:eastAsia="en-US"/>
        </w:rPr>
        <w:t>нормативные правовые акты субъектов Российской Федерации, не могут снижать объём мер социальной поддержки, предоставляемых педагогическим работникам, проживающим и работающим в сельской местности, рабочих поселках (поселках городского типа)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просим Правительство Республики Алтай </w:t>
      </w:r>
      <w:r>
        <w:rPr>
          <w:rFonts w:ascii="Times New Roman" w:hAnsi="Times New Roman"/>
          <w:sz w:val="24"/>
          <w:szCs w:val="24"/>
        </w:rPr>
        <w:t xml:space="preserve">не принимать  данное постановление. </w:t>
      </w:r>
    </w:p>
    <w:p w:rsidR="00226AF2" w:rsidRPr="00FE273E" w:rsidRDefault="00226AF2" w:rsidP="00226AF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6AF2" w:rsidRPr="00B667FD" w:rsidRDefault="00226AF2" w:rsidP="00226AF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1336410" cy="659218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24" cy="6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667F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667FD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Ю.П. </w:t>
      </w:r>
      <w:proofErr w:type="spellStart"/>
      <w:r w:rsidRPr="00B667FD">
        <w:rPr>
          <w:rFonts w:ascii="Times New Roman" w:eastAsia="Calibri" w:hAnsi="Times New Roman"/>
          <w:sz w:val="24"/>
          <w:szCs w:val="24"/>
          <w:lang w:eastAsia="en-US"/>
        </w:rPr>
        <w:t>Тишков</w:t>
      </w:r>
      <w:proofErr w:type="spellEnd"/>
    </w:p>
    <w:p w:rsidR="006226AF" w:rsidRPr="00226AF2" w:rsidRDefault="006226AF" w:rsidP="00226AF2">
      <w:pPr>
        <w:rPr>
          <w:szCs w:val="24"/>
        </w:rPr>
      </w:pPr>
    </w:p>
    <w:sectPr w:rsidR="006226AF" w:rsidRPr="00226AF2" w:rsidSect="0043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87E4F"/>
    <w:rsid w:val="00226AF2"/>
    <w:rsid w:val="006226AF"/>
    <w:rsid w:val="00634C14"/>
    <w:rsid w:val="00F8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E4F"/>
    <w:rPr>
      <w:color w:val="0000FF"/>
      <w:u w:val="single"/>
    </w:rPr>
  </w:style>
  <w:style w:type="paragraph" w:styleId="a4">
    <w:name w:val="Body Text"/>
    <w:basedOn w:val="a"/>
    <w:link w:val="a5"/>
    <w:rsid w:val="00F87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87E4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F87E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alt.ucoz.ru/" TargetMode="External"/><Relationship Id="rId5" Type="http://schemas.openxmlformats.org/officeDocument/2006/relationships/hyperlink" Target="mailto:profalt@free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7490</Characters>
  <Application>Microsoft Office Word</Application>
  <DocSecurity>0</DocSecurity>
  <Lines>62</Lines>
  <Paragraphs>17</Paragraphs>
  <ScaleCrop>false</ScaleCrop>
  <Company>Grizli777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2015-01-22T14:30:00Z</dcterms:created>
  <dcterms:modified xsi:type="dcterms:W3CDTF">2015-01-23T08:46:00Z</dcterms:modified>
</cp:coreProperties>
</file>